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441" w:rsidRPr="00687441" w:rsidRDefault="00687441" w:rsidP="00687441">
      <w:pPr>
        <w:autoSpaceDE w:val="0"/>
        <w:autoSpaceDN w:val="0"/>
        <w:adjustRightInd w:val="0"/>
        <w:spacing w:after="360" w:line="520" w:lineRule="atLeast"/>
        <w:rPr>
          <w:rFonts w:ascii="Helvetica" w:eastAsia="PingFangTC-Regular" w:hAnsi="Helvetica" w:cs="Helvetica"/>
          <w:color w:val="3C3C3C"/>
          <w:kern w:val="0"/>
          <w:sz w:val="48"/>
          <w:szCs w:val="48"/>
        </w:rPr>
      </w:pPr>
      <w:r w:rsidRPr="00687441">
        <w:rPr>
          <w:rFonts w:ascii="PingFangTC-Regular" w:eastAsia="PingFangTC-Regular" w:cs="PingFangTC-Regular" w:hint="eastAsia"/>
          <w:color w:val="3C3C3C"/>
          <w:kern w:val="0"/>
          <w:sz w:val="48"/>
          <w:szCs w:val="48"/>
        </w:rPr>
        <w:t>資訊安全政策</w:t>
      </w:r>
    </w:p>
    <w:p w:rsidR="00687441" w:rsidRDefault="00687441" w:rsidP="00687441">
      <w:pPr>
        <w:autoSpaceDE w:val="0"/>
        <w:autoSpaceDN w:val="0"/>
        <w:adjustRightInd w:val="0"/>
        <w:spacing w:after="360" w:line="360" w:lineRule="atLeast"/>
        <w:rPr>
          <w:rFonts w:ascii="Helvetica" w:eastAsia="PingFangTC-Regular" w:hAnsi="Helvetica" w:cs="Helvetica"/>
          <w:color w:val="535353"/>
          <w:kern w:val="0"/>
          <w:sz w:val="32"/>
          <w:szCs w:val="32"/>
        </w:rPr>
      </w:pPr>
      <w:r>
        <w:rPr>
          <w:rFonts w:ascii="PingFangTC-Regular" w:eastAsia="PingFangTC-Regular" w:hAnsi="Helvetica" w:cs="PingFangTC-Regular" w:hint="eastAsia"/>
          <w:color w:val="535353"/>
          <w:kern w:val="0"/>
          <w:sz w:val="32"/>
          <w:szCs w:val="32"/>
        </w:rPr>
        <w:t>一、目的</w:t>
      </w:r>
      <w:r>
        <w:rPr>
          <w:rFonts w:ascii="Helvetica" w:eastAsia="PingFangTC-Regular" w:hAnsi="Helvetica" w:cs="Helvetica"/>
          <w:color w:val="535353"/>
          <w:kern w:val="0"/>
          <w:sz w:val="32"/>
          <w:szCs w:val="32"/>
        </w:rPr>
        <w:t>: </w:t>
      </w:r>
    </w:p>
    <w:p w:rsidR="00687441" w:rsidRPr="00687441" w:rsidRDefault="00687441" w:rsidP="00687441">
      <w:pPr>
        <w:autoSpaceDE w:val="0"/>
        <w:autoSpaceDN w:val="0"/>
        <w:adjustRightInd w:val="0"/>
        <w:spacing w:after="360" w:line="360" w:lineRule="atLeast"/>
        <w:rPr>
          <w:rFonts w:ascii="PingFangTC-Regular" w:eastAsia="PingFangTC-Regular" w:hAnsi="MicrosoftJhengHeiRegular" w:cs="PingFangTC-Regular"/>
          <w:color w:val="535353"/>
          <w:kern w:val="0"/>
          <w:szCs w:val="24"/>
        </w:rPr>
      </w:pPr>
      <w:proofErr w:type="gramStart"/>
      <w:r w:rsidRPr="00687441">
        <w:rPr>
          <w:rFonts w:ascii="PingFangTC-Regular" w:eastAsia="PingFangTC-Regular" w:hAnsi="Helvetica" w:cs="PingFangTC-Regular" w:hint="eastAsia"/>
          <w:color w:val="535353"/>
          <w:kern w:val="0"/>
          <w:szCs w:val="24"/>
        </w:rPr>
        <w:t>瘋帽客</w:t>
      </w:r>
      <w:proofErr w:type="gramEnd"/>
      <w:r w:rsidRPr="00687441">
        <w:rPr>
          <w:rFonts w:ascii="PingFangTC-Regular" w:eastAsia="PingFangTC-Regular" w:hAnsi="Helvetica" w:cs="PingFangTC-Regular" w:hint="eastAsia"/>
          <w:color w:val="535353"/>
          <w:kern w:val="0"/>
          <w:szCs w:val="24"/>
        </w:rPr>
        <w:t>股份有限公司（以下簡稱本公司）為了</w:t>
      </w:r>
      <w:proofErr w:type="gramStart"/>
      <w:r w:rsidRPr="00687441">
        <w:rPr>
          <w:rFonts w:ascii="PingFangTC-Regular" w:eastAsia="PingFangTC-Regular" w:hAnsi="Helvetica" w:cs="PingFangTC-Regular" w:hint="eastAsia"/>
          <w:color w:val="535353"/>
          <w:kern w:val="0"/>
          <w:szCs w:val="24"/>
        </w:rPr>
        <w:t>強化資安管理</w:t>
      </w:r>
      <w:proofErr w:type="gramEnd"/>
      <w:r w:rsidRPr="00687441">
        <w:rPr>
          <w:rFonts w:ascii="PingFangTC-Regular" w:eastAsia="PingFangTC-Regular" w:hAnsi="Helvetica" w:cs="PingFangTC-Regular" w:hint="eastAsia"/>
          <w:color w:val="535353"/>
          <w:kern w:val="0"/>
          <w:szCs w:val="24"/>
        </w:rPr>
        <w:t>，確保本公司</w:t>
      </w:r>
      <w:r w:rsidRPr="00687441">
        <w:rPr>
          <w:rFonts w:ascii="MicrosoftJhengHeiRegular" w:eastAsia="PingFangTC-Regular" w:hAnsi="MicrosoftJhengHeiRegular" w:cs="MicrosoftJhengHeiRegular"/>
          <w:color w:val="676767"/>
          <w:kern w:val="0"/>
          <w:szCs w:val="24"/>
        </w:rPr>
        <w:t>資料、資訊、設備、人員與網路</w:t>
      </w:r>
      <w:r w:rsidRPr="00687441">
        <w:rPr>
          <w:rFonts w:ascii="PingFangTC-Regular" w:eastAsia="PingFangTC-Regular" w:hAnsi="MicrosoftJhengHeiRegular" w:cs="PingFangTC-Regular" w:hint="eastAsia"/>
          <w:color w:val="535353"/>
          <w:kern w:val="0"/>
          <w:szCs w:val="24"/>
        </w:rPr>
        <w:t>的機密性、完整性及可用性，</w:t>
      </w:r>
      <w:r w:rsidRPr="00687441">
        <w:rPr>
          <w:rFonts w:ascii="MicrosoftJhengHeiRegular" w:eastAsia="PingFangTC-Regular" w:hAnsi="MicrosoftJhengHeiRegular" w:cs="MicrosoftJhengHeiRegular"/>
          <w:color w:val="676767"/>
          <w:kern w:val="0"/>
          <w:szCs w:val="24"/>
        </w:rPr>
        <w:t>特訂定本公司「資訊安全政策」</w:t>
      </w:r>
      <w:r w:rsidRPr="00687441">
        <w:rPr>
          <w:rFonts w:ascii="PingFangTC-Regular" w:eastAsia="PingFangTC-Regular" w:hAnsi="MicrosoftJhengHeiRegular" w:cs="PingFangTC-Regular" w:hint="eastAsia"/>
          <w:color w:val="535353"/>
          <w:kern w:val="0"/>
          <w:szCs w:val="24"/>
        </w:rPr>
        <w:t>，使本公司避免遭受公司內部與外部的蓄意或意外之任何威脅，達到資訊安全。</w:t>
      </w:r>
    </w:p>
    <w:p w:rsidR="00687441" w:rsidRPr="00687441" w:rsidRDefault="00687441" w:rsidP="00687441">
      <w:pPr>
        <w:autoSpaceDE w:val="0"/>
        <w:autoSpaceDN w:val="0"/>
        <w:adjustRightInd w:val="0"/>
        <w:spacing w:after="200" w:line="800" w:lineRule="atLeast"/>
        <w:rPr>
          <w:rFonts w:ascii="Times-Roman" w:eastAsia="STSongti-TC-Regular" w:hAnsi="Times-Roman" w:cs="Times-Roman"/>
          <w:color w:val="343434"/>
          <w:kern w:val="0"/>
          <w:sz w:val="32"/>
          <w:szCs w:val="32"/>
        </w:rPr>
      </w:pPr>
      <w:r w:rsidRPr="00687441">
        <w:rPr>
          <w:rFonts w:ascii="STSongti-TC-Regular" w:eastAsia="STSongti-TC-Regular" w:hAnsi="MicrosoftJhengHeiRegular" w:cs="STSongti-TC-Regular" w:hint="eastAsia"/>
          <w:color w:val="343434"/>
          <w:kern w:val="0"/>
          <w:sz w:val="32"/>
          <w:szCs w:val="32"/>
        </w:rPr>
        <w:t>二</w:t>
      </w:r>
      <w:r w:rsidRPr="00687441">
        <w:rPr>
          <w:rFonts w:ascii="STSongti-TC-Regular" w:eastAsia="STSongti-TC-Regular" w:hAnsi="MicrosoftJhengHeiRegular" w:cs="STSongti-TC-Regular" w:hint="eastAsia"/>
          <w:color w:val="343434"/>
          <w:kern w:val="0"/>
          <w:sz w:val="32"/>
          <w:szCs w:val="32"/>
        </w:rPr>
        <w:t>、</w:t>
      </w:r>
      <w:r w:rsidRPr="00687441">
        <w:rPr>
          <w:rFonts w:ascii="STSongti-TC-Regular" w:eastAsia="STSongti-TC-Regular" w:hAnsi="MicrosoftJhengHeiRegular" w:cs="STSongti-TC-Regular" w:hint="eastAsia"/>
          <w:color w:val="343434"/>
          <w:kern w:val="0"/>
          <w:sz w:val="32"/>
          <w:szCs w:val="32"/>
        </w:rPr>
        <w:t>目標</w:t>
      </w:r>
      <w:r w:rsidRPr="00687441">
        <w:rPr>
          <w:rFonts w:ascii="Times-Roman" w:eastAsia="STSongti-TC-Regular" w:hAnsi="Times-Roman" w:cs="Times-Roman"/>
          <w:color w:val="343434"/>
          <w:kern w:val="0"/>
          <w:sz w:val="32"/>
          <w:szCs w:val="32"/>
        </w:rPr>
        <w:t xml:space="preserve"> </w:t>
      </w:r>
      <w:r w:rsidRPr="00687441">
        <w:rPr>
          <w:rFonts w:ascii="STSongti-TC-Regular" w:eastAsia="STSongti-TC-Regular" w:hAnsi="Times-Roman" w:cs="STSongti-TC-Regular" w:hint="eastAsia"/>
          <w:color w:val="343434"/>
          <w:kern w:val="0"/>
          <w:sz w:val="32"/>
          <w:szCs w:val="32"/>
        </w:rPr>
        <w:t>：</w:t>
      </w:r>
    </w:p>
    <w:p w:rsidR="00687441" w:rsidRPr="00687441" w:rsidRDefault="00687441" w:rsidP="00687441">
      <w:pPr>
        <w:numPr>
          <w:ilvl w:val="0"/>
          <w:numId w:val="1"/>
        </w:numPr>
        <w:tabs>
          <w:tab w:val="left" w:pos="220"/>
          <w:tab w:val="left" w:pos="720"/>
        </w:tabs>
        <w:autoSpaceDE w:val="0"/>
        <w:autoSpaceDN w:val="0"/>
        <w:adjustRightInd w:val="0"/>
        <w:spacing w:line="380" w:lineRule="atLeast"/>
        <w:ind w:hanging="720"/>
        <w:rPr>
          <w:rFonts w:ascii="MicrosoftJhengHeiRegular" w:eastAsia="STSongti-TC-Regular" w:hAnsi="MicrosoftJhengHeiRegular" w:cs="MicrosoftJhengHeiRegular"/>
          <w:color w:val="676767"/>
          <w:kern w:val="0"/>
          <w:szCs w:val="24"/>
        </w:rPr>
      </w:pPr>
      <w:r w:rsidRPr="00687441">
        <w:rPr>
          <w:rFonts w:ascii="MicrosoftJhengHeiRegular" w:eastAsia="STSongti-TC-Regular" w:hAnsi="MicrosoftJhengHeiRegular" w:cs="MicrosoftJhengHeiRegular"/>
          <w:color w:val="676767"/>
          <w:kern w:val="0"/>
          <w:szCs w:val="24"/>
        </w:rPr>
        <w:t>確保本公司資訊作業可正確、完整、可用的持續營運。</w:t>
      </w:r>
    </w:p>
    <w:p w:rsidR="00687441" w:rsidRPr="00687441" w:rsidRDefault="00687441" w:rsidP="00687441">
      <w:pPr>
        <w:numPr>
          <w:ilvl w:val="0"/>
          <w:numId w:val="1"/>
        </w:numPr>
        <w:tabs>
          <w:tab w:val="left" w:pos="220"/>
          <w:tab w:val="left" w:pos="720"/>
        </w:tabs>
        <w:autoSpaceDE w:val="0"/>
        <w:autoSpaceDN w:val="0"/>
        <w:adjustRightInd w:val="0"/>
        <w:spacing w:line="380" w:lineRule="atLeast"/>
        <w:ind w:hanging="720"/>
        <w:rPr>
          <w:rFonts w:ascii="PingFangTC-Regular" w:eastAsia="PingFangTC-Regular" w:hAnsi="MicrosoftJhengHeiRegular" w:cs="PingFangTC-Regular"/>
          <w:color w:val="535353"/>
          <w:kern w:val="0"/>
          <w:szCs w:val="24"/>
        </w:rPr>
      </w:pPr>
      <w:r w:rsidRPr="00687441">
        <w:rPr>
          <w:rFonts w:ascii="PingFangTC-Regular" w:eastAsia="PingFangTC-Regular" w:hAnsi="MicrosoftJhengHeiRegular" w:cs="PingFangTC-Regular" w:hint="eastAsia"/>
          <w:color w:val="535353"/>
          <w:kern w:val="0"/>
          <w:szCs w:val="24"/>
        </w:rPr>
        <w:t>維護本公司資訊資產之機密性、完整性與可用性，並保障使用者資料隱私。</w:t>
      </w:r>
    </w:p>
    <w:p w:rsidR="00687441" w:rsidRPr="00687441" w:rsidRDefault="00687441" w:rsidP="00687441">
      <w:pPr>
        <w:numPr>
          <w:ilvl w:val="0"/>
          <w:numId w:val="1"/>
        </w:numPr>
        <w:tabs>
          <w:tab w:val="left" w:pos="220"/>
          <w:tab w:val="left" w:pos="720"/>
        </w:tabs>
        <w:autoSpaceDE w:val="0"/>
        <w:autoSpaceDN w:val="0"/>
        <w:adjustRightInd w:val="0"/>
        <w:spacing w:line="380" w:lineRule="atLeast"/>
        <w:ind w:hanging="720"/>
        <w:rPr>
          <w:rFonts w:ascii="PingFangTC-Regular" w:eastAsia="PingFangTC-Regular" w:hAnsi="MicrosoftJhengHeiRegular" w:cs="PingFangTC-Regular"/>
          <w:color w:val="535353"/>
          <w:kern w:val="0"/>
          <w:szCs w:val="24"/>
        </w:rPr>
      </w:pPr>
      <w:r w:rsidRPr="00687441">
        <w:rPr>
          <w:rFonts w:ascii="PingFangTC-Regular" w:eastAsia="PingFangTC-Regular" w:hAnsi="MicrosoftJhengHeiRegular" w:cs="PingFangTC-Regular" w:hint="eastAsia"/>
          <w:color w:val="535353"/>
          <w:kern w:val="0"/>
          <w:szCs w:val="24"/>
        </w:rPr>
        <w:t>尊重智慧財產權，保護顧客及公司資訊。</w:t>
      </w:r>
    </w:p>
    <w:p w:rsidR="00687441" w:rsidRPr="00687441" w:rsidRDefault="00687441" w:rsidP="00687441">
      <w:pPr>
        <w:numPr>
          <w:ilvl w:val="0"/>
          <w:numId w:val="1"/>
        </w:numPr>
        <w:tabs>
          <w:tab w:val="left" w:pos="220"/>
          <w:tab w:val="left" w:pos="720"/>
        </w:tabs>
        <w:autoSpaceDE w:val="0"/>
        <w:autoSpaceDN w:val="0"/>
        <w:adjustRightInd w:val="0"/>
        <w:spacing w:line="380" w:lineRule="atLeast"/>
        <w:ind w:hanging="720"/>
        <w:rPr>
          <w:rFonts w:ascii="PingFangTC-Regular" w:eastAsia="PingFangTC-Regular" w:hAnsi="MicrosoftJhengHeiRegular" w:cs="PingFangTC-Regular"/>
          <w:color w:val="535353"/>
          <w:kern w:val="0"/>
          <w:szCs w:val="24"/>
        </w:rPr>
      </w:pPr>
      <w:r w:rsidRPr="00687441">
        <w:rPr>
          <w:rFonts w:ascii="PingFangTC-Regular" w:eastAsia="PingFangTC-Regular" w:hAnsi="MicrosoftJhengHeiRegular" w:cs="PingFangTC-Regular" w:hint="eastAsia"/>
          <w:color w:val="535353"/>
          <w:kern w:val="0"/>
          <w:szCs w:val="24"/>
        </w:rPr>
        <w:t>確保所有資訊安全意外事故或可疑之安全弱點，都應依循適當之通報機制向上反映，並予以適當調查及處理。</w:t>
      </w:r>
    </w:p>
    <w:p w:rsidR="00687441" w:rsidRDefault="00687441" w:rsidP="00687441">
      <w:pPr>
        <w:tabs>
          <w:tab w:val="left" w:pos="566"/>
        </w:tabs>
        <w:autoSpaceDE w:val="0"/>
        <w:autoSpaceDN w:val="0"/>
        <w:adjustRightInd w:val="0"/>
        <w:spacing w:line="380" w:lineRule="atLeast"/>
        <w:rPr>
          <w:rFonts w:ascii="MicrosoftJhengHeiRegular" w:eastAsia="PingFangTC-Regular" w:hAnsi="MicrosoftJhengHeiRegular" w:cs="MicrosoftJhengHeiRegular"/>
          <w:color w:val="676767"/>
          <w:kern w:val="0"/>
          <w:sz w:val="28"/>
          <w:szCs w:val="28"/>
        </w:rPr>
      </w:pPr>
    </w:p>
    <w:p w:rsidR="00687441" w:rsidRPr="00687441" w:rsidRDefault="00687441" w:rsidP="00687441">
      <w:pPr>
        <w:tabs>
          <w:tab w:val="left" w:pos="566"/>
        </w:tabs>
        <w:autoSpaceDE w:val="0"/>
        <w:autoSpaceDN w:val="0"/>
        <w:adjustRightInd w:val="0"/>
        <w:spacing w:line="380" w:lineRule="atLeast"/>
        <w:rPr>
          <w:rFonts w:ascii="MicrosoftJhengHeiRegular" w:eastAsia="PingFangTC-Regular" w:hAnsi="MicrosoftJhengHeiRegular" w:cs="MicrosoftJhengHeiRegular"/>
          <w:color w:val="676767"/>
          <w:kern w:val="0"/>
          <w:sz w:val="32"/>
          <w:szCs w:val="32"/>
        </w:rPr>
      </w:pPr>
      <w:r w:rsidRPr="00687441">
        <w:rPr>
          <w:rFonts w:ascii="MicrosoftJhengHeiRegular" w:eastAsia="PingFangTC-Regular" w:hAnsi="MicrosoftJhengHeiRegular" w:cs="MicrosoftJhengHeiRegular"/>
          <w:color w:val="676767"/>
          <w:kern w:val="0"/>
          <w:sz w:val="32"/>
          <w:szCs w:val="32"/>
        </w:rPr>
        <w:t>三、實施</w:t>
      </w:r>
    </w:p>
    <w:p w:rsidR="00687441" w:rsidRPr="00687441" w:rsidRDefault="00687441" w:rsidP="00687441">
      <w:pPr>
        <w:numPr>
          <w:ilvl w:val="0"/>
          <w:numId w:val="2"/>
        </w:numPr>
        <w:tabs>
          <w:tab w:val="left" w:pos="220"/>
          <w:tab w:val="left" w:pos="284"/>
        </w:tabs>
        <w:autoSpaceDE w:val="0"/>
        <w:autoSpaceDN w:val="0"/>
        <w:adjustRightInd w:val="0"/>
        <w:spacing w:line="360" w:lineRule="atLeast"/>
        <w:ind w:hanging="720"/>
        <w:rPr>
          <w:rFonts w:ascii="Helvetica" w:eastAsia="PingFangTC-Regular" w:hAnsi="Helvetica" w:cs="Helvetica"/>
          <w:color w:val="535353"/>
          <w:kern w:val="0"/>
          <w:szCs w:val="24"/>
        </w:rPr>
      </w:pPr>
      <w:r w:rsidRPr="00687441">
        <w:rPr>
          <w:rFonts w:ascii="PingFangTC-Regular" w:eastAsia="PingFangTC-Regular" w:hAnsi="Helvetica" w:cs="PingFangTC-Regular" w:hint="eastAsia"/>
          <w:color w:val="535353"/>
          <w:kern w:val="0"/>
          <w:szCs w:val="24"/>
        </w:rPr>
        <w:t>全體同仁應積極參與及支持各項資訊安全管理制度並透過適當的標準和程序以實施此政策。</w:t>
      </w:r>
    </w:p>
    <w:p w:rsidR="00687441" w:rsidRPr="00687441" w:rsidRDefault="00687441" w:rsidP="00687441">
      <w:pPr>
        <w:numPr>
          <w:ilvl w:val="0"/>
          <w:numId w:val="2"/>
        </w:numPr>
        <w:tabs>
          <w:tab w:val="left" w:pos="220"/>
          <w:tab w:val="left" w:pos="284"/>
        </w:tabs>
        <w:autoSpaceDE w:val="0"/>
        <w:autoSpaceDN w:val="0"/>
        <w:adjustRightInd w:val="0"/>
        <w:spacing w:line="360" w:lineRule="atLeast"/>
        <w:ind w:hanging="720"/>
        <w:rPr>
          <w:rFonts w:ascii="MicrosoftJhengHeiRegular" w:eastAsia="PingFangTC-Regular" w:hAnsi="MicrosoftJhengHeiRegular" w:cs="MicrosoftJhengHeiRegular"/>
          <w:color w:val="676767"/>
          <w:kern w:val="0"/>
          <w:szCs w:val="24"/>
        </w:rPr>
      </w:pPr>
      <w:r w:rsidRPr="00687441">
        <w:rPr>
          <w:rFonts w:ascii="MicrosoftJhengHeiRegular" w:eastAsia="PingFangTC-Regular" w:hAnsi="MicrosoftJhengHeiRegular" w:cs="MicrosoftJhengHeiRegular"/>
          <w:color w:val="676767"/>
          <w:kern w:val="0"/>
          <w:szCs w:val="24"/>
        </w:rPr>
        <w:t>新進同仁須參與資訊安全教育訓練以提昇資訊安全防護之認知觀念，公司定</w:t>
      </w:r>
      <w:r w:rsidRPr="00687441">
        <w:rPr>
          <w:rFonts w:ascii="MicrosoftJhengHeiRegular" w:eastAsia="PingFangTC-Regular" w:hAnsi="MicrosoftJhengHeiRegular" w:cs="MicrosoftJhengHeiRegular"/>
          <w:color w:val="676767"/>
          <w:kern w:val="0"/>
          <w:szCs w:val="24"/>
        </w:rPr>
        <w:lastRenderedPageBreak/>
        <w:t>期執行資訊安全宣導作業。</w:t>
      </w:r>
    </w:p>
    <w:p w:rsidR="00687441" w:rsidRPr="00687441" w:rsidRDefault="00687441" w:rsidP="00687441">
      <w:pPr>
        <w:numPr>
          <w:ilvl w:val="0"/>
          <w:numId w:val="2"/>
        </w:numPr>
        <w:tabs>
          <w:tab w:val="left" w:pos="0"/>
          <w:tab w:val="left" w:pos="284"/>
        </w:tabs>
        <w:autoSpaceDE w:val="0"/>
        <w:autoSpaceDN w:val="0"/>
        <w:adjustRightInd w:val="0"/>
        <w:spacing w:line="380" w:lineRule="atLeast"/>
        <w:ind w:left="284" w:hanging="720"/>
        <w:rPr>
          <w:rFonts w:ascii="MicrosoftJhengHeiRegular" w:eastAsia="PingFangTC-Regular" w:hAnsi="MicrosoftJhengHeiRegular" w:cs="MicrosoftJhengHeiRegular"/>
          <w:color w:val="676767"/>
          <w:kern w:val="0"/>
          <w:szCs w:val="24"/>
        </w:rPr>
      </w:pPr>
      <w:r w:rsidRPr="00687441">
        <w:rPr>
          <w:rFonts w:ascii="MicrosoftJhengHeiRegular" w:eastAsia="PingFangTC-Regular" w:hAnsi="MicrosoftJhengHeiRegular" w:cs="MicrosoftJhengHeiRegular"/>
          <w:color w:val="676767"/>
          <w:kern w:val="0"/>
          <w:szCs w:val="24"/>
        </w:rPr>
        <w:t>本公司所有員工、委外</w:t>
      </w:r>
      <w:bookmarkStart w:id="0" w:name="_GoBack"/>
      <w:bookmarkEnd w:id="0"/>
      <w:r w:rsidRPr="00687441">
        <w:rPr>
          <w:rFonts w:ascii="MicrosoftJhengHeiRegular" w:eastAsia="PingFangTC-Regular" w:hAnsi="MicrosoftJhengHeiRegular" w:cs="MicrosoftJhengHeiRegular"/>
          <w:color w:val="676767"/>
          <w:kern w:val="0"/>
          <w:szCs w:val="24"/>
        </w:rPr>
        <w:t>廠商暨其協力廠商及訪客等，凡使用本公司資訊以提供資訊服務</w:t>
      </w:r>
      <w:r w:rsidRPr="00687441">
        <w:rPr>
          <w:rFonts w:ascii="MicrosoftJhengHeiRegular" w:eastAsia="PingFangTC-Regular" w:hAnsi="MicrosoftJhengHeiRegular" w:cs="MicrosoftJhengHeiRegular"/>
          <w:color w:val="676767"/>
          <w:kern w:val="0"/>
          <w:szCs w:val="24"/>
        </w:rPr>
        <w:t xml:space="preserve"> </w:t>
      </w:r>
      <w:r w:rsidRPr="00687441">
        <w:rPr>
          <w:rFonts w:ascii="MicrosoftJhengHeiRegular" w:eastAsia="PingFangTC-Regular" w:hAnsi="MicrosoftJhengHeiRegular" w:cs="MicrosoftJhengHeiRegular"/>
          <w:color w:val="676767"/>
          <w:kern w:val="0"/>
          <w:szCs w:val="24"/>
        </w:rPr>
        <w:t>或執行相關資訊業務等，皆有責任及義務保護其所取得或使用本公司之資訊資產，以防止遭未經</w:t>
      </w:r>
      <w:r w:rsidRPr="00687441">
        <w:rPr>
          <w:rFonts w:ascii="MicrosoftJhengHeiRegular" w:eastAsia="PingFangTC-Regular" w:hAnsi="MicrosoftJhengHeiRegular" w:cs="MicrosoftJhengHeiRegular"/>
          <w:color w:val="676767"/>
          <w:kern w:val="0"/>
          <w:szCs w:val="24"/>
        </w:rPr>
        <w:t xml:space="preserve"> </w:t>
      </w:r>
      <w:r w:rsidRPr="00687441">
        <w:rPr>
          <w:rFonts w:ascii="MicrosoftJhengHeiRegular" w:eastAsia="PingFangTC-Regular" w:hAnsi="MicrosoftJhengHeiRegular" w:cs="MicrosoftJhengHeiRegular"/>
          <w:color w:val="676767"/>
          <w:kern w:val="0"/>
          <w:szCs w:val="24"/>
        </w:rPr>
        <w:t>授權存取、擅改、破壞或不當揭露</w:t>
      </w:r>
    </w:p>
    <w:p w:rsidR="00687441" w:rsidRPr="00687441" w:rsidRDefault="00687441" w:rsidP="00687441">
      <w:pPr>
        <w:numPr>
          <w:ilvl w:val="0"/>
          <w:numId w:val="2"/>
        </w:numPr>
        <w:tabs>
          <w:tab w:val="left" w:pos="220"/>
          <w:tab w:val="left" w:pos="284"/>
        </w:tabs>
        <w:autoSpaceDE w:val="0"/>
        <w:autoSpaceDN w:val="0"/>
        <w:adjustRightInd w:val="0"/>
        <w:spacing w:line="380" w:lineRule="atLeast"/>
        <w:ind w:hanging="720"/>
        <w:rPr>
          <w:rFonts w:ascii="MicrosoftJhengHeiRegular" w:eastAsia="新細明體" w:hAnsi="MicrosoftJhengHeiRegular" w:cs="MicrosoftJhengHeiRegular"/>
          <w:color w:val="676767"/>
          <w:kern w:val="0"/>
          <w:szCs w:val="24"/>
        </w:rPr>
      </w:pPr>
      <w:r w:rsidRPr="00687441">
        <w:rPr>
          <w:rFonts w:ascii="PingFangTC-Regular" w:eastAsia="PingFangTC-Regular" w:hAnsi="MicrosoftJhengHeiRegular" w:cs="PingFangTC-Regular" w:hint="eastAsia"/>
          <w:color w:val="535353"/>
          <w:kern w:val="0"/>
          <w:szCs w:val="24"/>
        </w:rPr>
        <w:t>租用之</w:t>
      </w:r>
      <w:r w:rsidRPr="00687441">
        <w:rPr>
          <w:rFonts w:ascii="MicrosoftJhengHeiRegular" w:eastAsia="PingFangTC-Regular" w:hAnsi="MicrosoftJhengHeiRegular" w:cs="MicrosoftJhengHeiRegular"/>
          <w:color w:val="676767"/>
          <w:kern w:val="1"/>
          <w:szCs w:val="24"/>
        </w:rPr>
        <w:t>遠端伺服器，需符合</w:t>
      </w:r>
      <w:hyperlink r:id="rId5" w:history="1">
        <w:r w:rsidRPr="00687441">
          <w:rPr>
            <w:rFonts w:ascii="新細明體" w:eastAsia="新細明體" w:hAnsi="MicrosoftJhengHeiRegular" w:cs="新細明體"/>
            <w:color w:val="021D37"/>
            <w:kern w:val="0"/>
            <w:szCs w:val="24"/>
          </w:rPr>
          <w:t>ISO 27001</w:t>
        </w:r>
      </w:hyperlink>
      <w:r w:rsidRPr="00687441">
        <w:rPr>
          <w:rFonts w:ascii="新細明體" w:eastAsia="新細明體" w:hAnsi="MicrosoftJhengHeiRegular" w:cs="新細明體" w:hint="eastAsia"/>
          <w:color w:val="021D37"/>
          <w:kern w:val="0"/>
          <w:szCs w:val="24"/>
        </w:rPr>
        <w:t>，確保資訊安全。</w:t>
      </w:r>
    </w:p>
    <w:p w:rsidR="00687441" w:rsidRPr="00687441" w:rsidRDefault="00687441" w:rsidP="00687441">
      <w:pPr>
        <w:numPr>
          <w:ilvl w:val="0"/>
          <w:numId w:val="2"/>
        </w:numPr>
        <w:tabs>
          <w:tab w:val="left" w:pos="220"/>
          <w:tab w:val="left" w:pos="284"/>
        </w:tabs>
        <w:autoSpaceDE w:val="0"/>
        <w:autoSpaceDN w:val="0"/>
        <w:adjustRightInd w:val="0"/>
        <w:spacing w:line="360" w:lineRule="atLeast"/>
        <w:ind w:hanging="720"/>
        <w:rPr>
          <w:rFonts w:ascii="Helvetica" w:eastAsia="新細明體" w:hAnsi="Helvetica" w:cs="Helvetica"/>
          <w:color w:val="535353"/>
          <w:kern w:val="0"/>
          <w:szCs w:val="24"/>
        </w:rPr>
      </w:pPr>
      <w:r w:rsidRPr="00687441">
        <w:rPr>
          <w:rFonts w:ascii="MicrosoftJhengHeiRegular" w:eastAsia="新細明體" w:hAnsi="MicrosoftJhengHeiRegular" w:cs="MicrosoftJhengHeiRegular"/>
          <w:color w:val="676767"/>
          <w:kern w:val="0"/>
          <w:szCs w:val="24"/>
        </w:rPr>
        <w:t>同仁個人持有伺服器之帳號、密碼與權限應善盡保管與使用責任並定期換置。</w:t>
      </w:r>
    </w:p>
    <w:p w:rsidR="007D0678" w:rsidRPr="00687441" w:rsidRDefault="00687441" w:rsidP="00687441">
      <w:pPr>
        <w:numPr>
          <w:ilvl w:val="0"/>
          <w:numId w:val="2"/>
        </w:numPr>
        <w:tabs>
          <w:tab w:val="left" w:pos="220"/>
          <w:tab w:val="left" w:pos="284"/>
        </w:tabs>
        <w:autoSpaceDE w:val="0"/>
        <w:autoSpaceDN w:val="0"/>
        <w:adjustRightInd w:val="0"/>
        <w:spacing w:line="360" w:lineRule="atLeast"/>
        <w:ind w:left="142" w:hanging="142"/>
        <w:rPr>
          <w:rFonts w:ascii="Helvetica" w:eastAsia="新細明體" w:hAnsi="Helvetica" w:cs="Helvetica"/>
          <w:color w:val="535353"/>
          <w:kern w:val="0"/>
          <w:szCs w:val="24"/>
        </w:rPr>
      </w:pPr>
      <w:r w:rsidRPr="00687441">
        <w:rPr>
          <w:rFonts w:ascii="PingFangTC-Regular" w:eastAsia="PingFangTC-Regular" w:hAnsi="Helvetica" w:cs="PingFangTC-Regular" w:hint="eastAsia"/>
          <w:color w:val="535353"/>
          <w:kern w:val="0"/>
          <w:szCs w:val="24"/>
        </w:rPr>
        <w:t>任何危及資訊安全之行為，將視情節輕重追究其民事、刑事及行政責任或依本公司</w:t>
      </w:r>
      <w:r w:rsidRPr="00687441">
        <w:rPr>
          <w:rFonts w:ascii="Helvetica" w:eastAsia="PingFangTC-Regular" w:hAnsi="Helvetica" w:cs="Helvetica"/>
          <w:color w:val="535353"/>
          <w:kern w:val="0"/>
          <w:szCs w:val="24"/>
        </w:rPr>
        <w:t>.</w:t>
      </w:r>
      <w:r w:rsidRPr="00687441">
        <w:rPr>
          <w:rFonts w:ascii="PingFangTC-Regular" w:eastAsia="PingFangTC-Regular" w:hAnsi="Helvetica" w:cs="PingFangTC-Regular" w:hint="eastAsia"/>
          <w:color w:val="535353"/>
          <w:kern w:val="0"/>
          <w:szCs w:val="24"/>
        </w:rPr>
        <w:t>之相關規定進行懲處</w:t>
      </w:r>
      <w:r w:rsidRPr="00687441">
        <w:rPr>
          <w:rFonts w:ascii="PingFangTC-Regular" w:eastAsia="PingFangTC-Regular" w:hAnsi="Helvetica" w:cs="PingFangTC-Regular" w:hint="eastAsia"/>
          <w:color w:val="535353"/>
          <w:kern w:val="0"/>
          <w:sz w:val="32"/>
          <w:szCs w:val="32"/>
        </w:rPr>
        <w:t>。</w:t>
      </w:r>
    </w:p>
    <w:sectPr w:rsidR="007D0678" w:rsidRPr="0068744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ingFangTC-Regular">
    <w:altName w:val="微軟正黑體"/>
    <w:panose1 w:val="00000000000000000000"/>
    <w:charset w:val="88"/>
    <w:family w:val="auto"/>
    <w:notTrueType/>
    <w:pitch w:val="default"/>
    <w:sig w:usb0="00000001" w:usb1="08080000" w:usb2="00000010" w:usb3="00000000" w:csb0="00100000" w:csb1="00000000"/>
  </w:font>
  <w:font w:name="MicrosoftJhengHeiRegular">
    <w:altName w:val="Calibri"/>
    <w:panose1 w:val="00000000000000000000"/>
    <w:charset w:val="00"/>
    <w:family w:val="auto"/>
    <w:notTrueType/>
    <w:pitch w:val="default"/>
    <w:sig w:usb0="00000003" w:usb1="00000000" w:usb2="00000000" w:usb3="00000000" w:csb0="00000001" w:csb1="00000000"/>
  </w:font>
  <w:font w:name="STSongti-TC-Regular">
    <w:altName w:val="微軟正黑體"/>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41"/>
    <w:rsid w:val="00687441"/>
    <w:rsid w:val="007D0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3E94"/>
  <w15:chartTrackingRefBased/>
  <w15:docId w15:val="{A875C29E-831D-417F-8C4E-91D2C642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wnload.microsoft.com/download/1/2/9/12926039-8F90-4BAF-AC8F-7124D48F400B/ISOIEC_27001_Compliance_Background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李庭昀</dc:creator>
  <cp:keywords/>
  <dc:description/>
  <cp:lastModifiedBy>李庭昀</cp:lastModifiedBy>
  <cp:revision>1</cp:revision>
  <dcterms:created xsi:type="dcterms:W3CDTF">2019-11-26T02:42:00Z</dcterms:created>
  <dcterms:modified xsi:type="dcterms:W3CDTF">2019-11-26T02:45:00Z</dcterms:modified>
</cp:coreProperties>
</file>